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9BB" w:rsidRDefault="00BD29BB" w:rsidP="008B471D">
      <w:pPr>
        <w:jc w:val="center"/>
        <w:rPr>
          <w:sz w:val="44"/>
          <w:szCs w:val="44"/>
        </w:rPr>
      </w:pPr>
      <w:r w:rsidRPr="008B471D">
        <w:rPr>
          <w:rFonts w:hint="eastAsia"/>
          <w:sz w:val="44"/>
          <w:szCs w:val="44"/>
        </w:rPr>
        <w:t>大型仪器介绍</w:t>
      </w:r>
    </w:p>
    <w:p w:rsidR="00BD29BB" w:rsidRDefault="00BD29BB" w:rsidP="00396164">
      <w:pPr>
        <w:pStyle w:val="NormalWeb"/>
        <w:jc w:val="center"/>
      </w:pPr>
      <w:r>
        <w:rPr>
          <w:rStyle w:val="Strong"/>
          <w:rFonts w:hint="eastAsia"/>
          <w:sz w:val="27"/>
          <w:szCs w:val="27"/>
        </w:rPr>
        <w:t>电液伺服岩石三轴压力试验机</w:t>
      </w:r>
    </w:p>
    <w:p w:rsidR="00BD29BB" w:rsidRDefault="00BD29BB" w:rsidP="00396164">
      <w:pPr>
        <w:pStyle w:val="NormalWeb"/>
        <w:jc w:val="center"/>
      </w:pPr>
      <w:hyperlink r:id="rId7" w:tgtFrame="_blank" w:tooltip="点击查看原图"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点击查看原图" href="http://202.194.131.200/_ueditor/dialogs/showOriginalImg.html?img=/picture/article/223/27/37/cdcce32b4c73bfbe62804bbaee7a/2c9dfe9b-e38c-4116-89f2-163c78325467_d.pn" title="点击查看原图" style="width:166.5pt;height:225pt" o:button="t">
              <v:imagedata r:id="rId8" r:href="rId9"/>
            </v:shape>
          </w:pict>
        </w:r>
      </w:hyperlink>
    </w:p>
    <w:p w:rsidR="00BD29BB" w:rsidRDefault="00BD29BB" w:rsidP="00396164">
      <w:pPr>
        <w:pStyle w:val="NormalWeb"/>
      </w:pPr>
      <w:r>
        <w:rPr>
          <w:rStyle w:val="Strong"/>
        </w:rPr>
        <w:t>   </w:t>
      </w:r>
      <w:r>
        <w:rPr>
          <w:rStyle w:val="Strong"/>
          <w:rFonts w:hint="eastAsia"/>
        </w:rPr>
        <w:t>功能：</w:t>
      </w:r>
    </w:p>
    <w:p w:rsidR="00BD29BB" w:rsidRDefault="00BD29BB" w:rsidP="00396164">
      <w:pPr>
        <w:pStyle w:val="NormalWeb"/>
      </w:pPr>
      <w:r>
        <w:t xml:space="preserve">    </w:t>
      </w:r>
      <w:r>
        <w:rPr>
          <w:rFonts w:hint="eastAsia"/>
        </w:rPr>
        <w:t>该试验机主要用于岩石、水泥砼等单轴压缩试验、蠕变试验、松弛试验、低周脉动试验等。配置压力自平衡式三轴压力室，进行三维应力下的压缩、蠕变、松弛、低周脉动试验等常规三轴试验。配置孔隙水伺服控制系统进行孔隙率水压试验，测定渗水率，及各种应力状态下的相关变化规律。</w:t>
      </w:r>
    </w:p>
    <w:p w:rsidR="00BD29BB" w:rsidRDefault="00BD29BB" w:rsidP="00396164">
      <w:pPr>
        <w:pStyle w:val="NormalWeb"/>
      </w:pPr>
      <w:r>
        <w:t xml:space="preserve">    </w:t>
      </w:r>
      <w:r>
        <w:rPr>
          <w:rFonts w:hint="eastAsia"/>
        </w:rPr>
        <w:t>试验机主机刚度大、响应频率快，可以完全满足单轴、三轴的试验要求，绘制岩石应力</w:t>
      </w:r>
      <w:r>
        <w:t>——</w:t>
      </w:r>
      <w:r>
        <w:rPr>
          <w:rFonts w:hint="eastAsia"/>
        </w:rPr>
        <w:t>应变全过程曲线。自动求取岩石抗压强度、抗压弹性模量、剪切模量、泊松比、岩石弹性参数、峰值强度和残余强度等。</w:t>
      </w:r>
    </w:p>
    <w:p w:rsidR="00BD29BB" w:rsidRDefault="00BD29BB" w:rsidP="00396164">
      <w:pPr>
        <w:pStyle w:val="NormalWeb"/>
      </w:pPr>
      <w:r>
        <w:rPr>
          <w:rStyle w:val="Strong"/>
        </w:rPr>
        <w:t xml:space="preserve">   </w:t>
      </w:r>
      <w:r>
        <w:rPr>
          <w:rStyle w:val="Strong"/>
          <w:rFonts w:hint="eastAsia"/>
        </w:rPr>
        <w:t>操作规程：</w:t>
      </w:r>
    </w:p>
    <w:p w:rsidR="00BD29BB" w:rsidRDefault="00BD29BB" w:rsidP="00396164">
      <w:pPr>
        <w:pStyle w:val="NormalWeb"/>
      </w:pPr>
      <w:r>
        <w:rPr>
          <w:sz w:val="18"/>
          <w:szCs w:val="18"/>
        </w:rPr>
        <w:t>   1</w:t>
      </w:r>
      <w:r>
        <w:rPr>
          <w:rFonts w:hint="eastAsia"/>
          <w:sz w:val="18"/>
          <w:szCs w:val="18"/>
        </w:rPr>
        <w:t>、开机前检查试验机的各个连接部件是否齐全，电源等接触是否可靠，一切正常方可接通总电源。</w:t>
      </w:r>
    </w:p>
    <w:p w:rsidR="00BD29BB" w:rsidRDefault="00BD29BB" w:rsidP="00396164">
      <w:pPr>
        <w:pStyle w:val="NormalWeb"/>
      </w:pPr>
      <w:r>
        <w:rPr>
          <w:sz w:val="18"/>
          <w:szCs w:val="18"/>
        </w:rPr>
        <w:t>   2</w:t>
      </w:r>
      <w:r>
        <w:rPr>
          <w:rFonts w:hint="eastAsia"/>
          <w:sz w:val="18"/>
          <w:szCs w:val="18"/>
        </w:rPr>
        <w:t>、双击桌面试验软件图标进入试验界面。</w:t>
      </w:r>
    </w:p>
    <w:p w:rsidR="00BD29BB" w:rsidRDefault="00BD29BB" w:rsidP="00396164">
      <w:pPr>
        <w:pStyle w:val="NormalWeb"/>
      </w:pPr>
      <w:r>
        <w:rPr>
          <w:sz w:val="18"/>
          <w:szCs w:val="18"/>
        </w:rPr>
        <w:t>   3</w:t>
      </w:r>
      <w:r>
        <w:rPr>
          <w:rFonts w:hint="eastAsia"/>
          <w:sz w:val="18"/>
          <w:szCs w:val="18"/>
        </w:rPr>
        <w:t>、测量试样，正确装载试样，正确接通所用传感器。</w:t>
      </w:r>
    </w:p>
    <w:p w:rsidR="00BD29BB" w:rsidRDefault="00BD29BB" w:rsidP="00396164">
      <w:pPr>
        <w:pStyle w:val="NormalWeb"/>
      </w:pPr>
      <w:r>
        <w:rPr>
          <w:sz w:val="18"/>
          <w:szCs w:val="18"/>
        </w:rPr>
        <w:t>   4</w:t>
      </w:r>
      <w:r>
        <w:rPr>
          <w:rFonts w:hint="eastAsia"/>
          <w:sz w:val="18"/>
          <w:szCs w:val="18"/>
        </w:rPr>
        <w:t>、进行联机操作（使试验机处于可控状态）。</w:t>
      </w:r>
    </w:p>
    <w:p w:rsidR="00BD29BB" w:rsidRDefault="00BD29BB" w:rsidP="00396164">
      <w:pPr>
        <w:pStyle w:val="NormalWeb"/>
      </w:pPr>
      <w:r>
        <w:rPr>
          <w:sz w:val="18"/>
          <w:szCs w:val="18"/>
        </w:rPr>
        <w:t>   5</w:t>
      </w:r>
      <w:r>
        <w:rPr>
          <w:rFonts w:hint="eastAsia"/>
          <w:sz w:val="18"/>
          <w:szCs w:val="18"/>
        </w:rPr>
        <w:t>、进行参数填写并保存。</w:t>
      </w:r>
    </w:p>
    <w:p w:rsidR="00BD29BB" w:rsidRDefault="00BD29BB" w:rsidP="00396164">
      <w:pPr>
        <w:pStyle w:val="NormalWeb"/>
      </w:pPr>
      <w:r>
        <w:rPr>
          <w:sz w:val="18"/>
          <w:szCs w:val="18"/>
        </w:rPr>
        <w:t>   6</w:t>
      </w:r>
      <w:r>
        <w:rPr>
          <w:rFonts w:hint="eastAsia"/>
          <w:sz w:val="18"/>
          <w:szCs w:val="18"/>
        </w:rPr>
        <w:t>、再次检查试验机的状态即试验过程中所能涉及部件的状态。</w:t>
      </w:r>
    </w:p>
    <w:p w:rsidR="00BD29BB" w:rsidRDefault="00BD29BB" w:rsidP="00396164">
      <w:pPr>
        <w:pStyle w:val="NormalWeb"/>
      </w:pPr>
      <w:r>
        <w:rPr>
          <w:sz w:val="18"/>
          <w:szCs w:val="18"/>
        </w:rPr>
        <w:t>   7</w:t>
      </w:r>
      <w:r>
        <w:rPr>
          <w:rFonts w:hint="eastAsia"/>
          <w:sz w:val="18"/>
          <w:szCs w:val="18"/>
        </w:rPr>
        <w:t>、启动相应油泵。</w:t>
      </w:r>
    </w:p>
    <w:p w:rsidR="00BD29BB" w:rsidRDefault="00BD29BB" w:rsidP="00396164">
      <w:pPr>
        <w:pStyle w:val="NormalWeb"/>
      </w:pPr>
      <w:r>
        <w:rPr>
          <w:sz w:val="18"/>
          <w:szCs w:val="18"/>
        </w:rPr>
        <w:t>   8</w:t>
      </w:r>
      <w:r>
        <w:rPr>
          <w:rFonts w:hint="eastAsia"/>
          <w:sz w:val="18"/>
          <w:szCs w:val="18"/>
        </w:rPr>
        <w:t>、进行试验，关注试验过程，并可人为干预试验过程。</w:t>
      </w:r>
    </w:p>
    <w:p w:rsidR="00BD29BB" w:rsidRDefault="00BD29BB" w:rsidP="00396164">
      <w:pPr>
        <w:pStyle w:val="NormalWeb"/>
      </w:pPr>
      <w:r>
        <w:rPr>
          <w:sz w:val="18"/>
          <w:szCs w:val="18"/>
        </w:rPr>
        <w:t>   9</w:t>
      </w:r>
      <w:r>
        <w:rPr>
          <w:rFonts w:hint="eastAsia"/>
          <w:sz w:val="18"/>
          <w:szCs w:val="18"/>
        </w:rPr>
        <w:t>、必要时进行紧急处理。</w:t>
      </w:r>
    </w:p>
    <w:p w:rsidR="00BD29BB" w:rsidRDefault="00BD29BB" w:rsidP="00396164">
      <w:pPr>
        <w:pStyle w:val="NormalWeb"/>
      </w:pPr>
      <w:r>
        <w:rPr>
          <w:sz w:val="18"/>
          <w:szCs w:val="18"/>
        </w:rPr>
        <w:t>   10</w:t>
      </w:r>
      <w:r>
        <w:rPr>
          <w:rFonts w:hint="eastAsia"/>
          <w:sz w:val="18"/>
          <w:szCs w:val="18"/>
        </w:rPr>
        <w:t>、试验结束，正确取下试样及相关传感器，处理数据结果。</w:t>
      </w:r>
    </w:p>
    <w:p w:rsidR="00BD29BB" w:rsidRDefault="00BD29BB" w:rsidP="00396164">
      <w:pPr>
        <w:pStyle w:val="NormalWeb"/>
        <w:rPr>
          <w:sz w:val="44"/>
          <w:szCs w:val="44"/>
        </w:rPr>
      </w:pPr>
      <w:r>
        <w:t>   11</w:t>
      </w:r>
      <w:r>
        <w:rPr>
          <w:rFonts w:hint="eastAsia"/>
        </w:rPr>
        <w:t>、关闭主机电源，关闭计算机控制系统。</w:t>
      </w:r>
    </w:p>
    <w:p w:rsidR="00BD29BB" w:rsidRPr="008B471D" w:rsidRDefault="00BD29BB" w:rsidP="008B471D">
      <w:pPr>
        <w:jc w:val="center"/>
        <w:rPr>
          <w:sz w:val="44"/>
          <w:szCs w:val="44"/>
        </w:rPr>
      </w:pPr>
    </w:p>
    <w:p w:rsidR="00BD29BB" w:rsidRDefault="00BD29BB" w:rsidP="008B471D">
      <w:pPr>
        <w:jc w:val="center"/>
      </w:pPr>
      <w:r w:rsidRPr="0077343C">
        <w:rPr>
          <w:noProof/>
        </w:rPr>
        <w:pict>
          <v:shape id="图片 1" o:spid="_x0000_i1026" type="#_x0000_t75" style="width:352.5pt;height:200.25pt;visibility:visible">
            <v:imagedata r:id="rId10" o:title=""/>
          </v:shape>
        </w:pict>
      </w:r>
    </w:p>
    <w:p w:rsidR="00BD29BB" w:rsidRDefault="00BD29BB"/>
    <w:p w:rsidR="00BD29BB" w:rsidRPr="008B471D" w:rsidRDefault="00BD29BB" w:rsidP="008B471D">
      <w:pPr>
        <w:jc w:val="center"/>
        <w:rPr>
          <w:rFonts w:ascii="宋体" w:hAnsi="宋体" w:cs="宋体"/>
          <w:b/>
          <w:bCs/>
          <w:sz w:val="24"/>
          <w:szCs w:val="24"/>
        </w:rPr>
      </w:pPr>
      <w:r w:rsidRPr="008B471D">
        <w:rPr>
          <w:sz w:val="24"/>
          <w:szCs w:val="24"/>
        </w:rPr>
        <w:t xml:space="preserve">: </w:t>
      </w:r>
      <w:r w:rsidRPr="008B471D">
        <w:rPr>
          <w:rFonts w:ascii="宋体" w:hAnsi="宋体" w:cs="宋体"/>
          <w:b/>
          <w:bCs/>
          <w:sz w:val="24"/>
          <w:szCs w:val="24"/>
        </w:rPr>
        <w:t>FLASHRES-UNIVERSAL</w:t>
      </w:r>
    </w:p>
    <w:p w:rsidR="00BD29BB" w:rsidRPr="008B471D" w:rsidRDefault="00BD29BB" w:rsidP="008B471D">
      <w:pPr>
        <w:jc w:val="center"/>
        <w:rPr>
          <w:rFonts w:ascii="宋体"/>
          <w:b/>
          <w:bCs/>
          <w:sz w:val="24"/>
          <w:szCs w:val="24"/>
        </w:rPr>
      </w:pPr>
      <w:r w:rsidRPr="008B471D">
        <w:rPr>
          <w:rFonts w:ascii="宋体" w:hAnsi="宋体" w:cs="宋体" w:hint="eastAsia"/>
          <w:b/>
          <w:bCs/>
          <w:sz w:val="24"/>
          <w:szCs w:val="24"/>
        </w:rPr>
        <w:t>多通道、超高密度直流电法</w:t>
      </w:r>
      <w:r w:rsidRPr="008B471D">
        <w:rPr>
          <w:rFonts w:ascii="宋体" w:hAnsi="宋体" w:cs="宋体"/>
          <w:b/>
          <w:bCs/>
          <w:sz w:val="24"/>
          <w:szCs w:val="24"/>
        </w:rPr>
        <w:t>/</w:t>
      </w:r>
      <w:r w:rsidRPr="008B471D">
        <w:rPr>
          <w:rFonts w:ascii="宋体" w:hAnsi="宋体" w:cs="宋体" w:hint="eastAsia"/>
          <w:b/>
          <w:bCs/>
          <w:sz w:val="24"/>
          <w:szCs w:val="24"/>
        </w:rPr>
        <w:t>激电勘探反演系统</w:t>
      </w:r>
    </w:p>
    <w:p w:rsidR="00BD29BB" w:rsidRDefault="00BD29BB"/>
    <w:p w:rsidR="00BD29BB" w:rsidRPr="00483E4A" w:rsidRDefault="00BD29BB" w:rsidP="008B471D">
      <w:pPr>
        <w:widowControl/>
        <w:numPr>
          <w:ilvl w:val="0"/>
          <w:numId w:val="3"/>
        </w:numPr>
        <w:spacing w:line="360" w:lineRule="auto"/>
        <w:ind w:left="0" w:firstLine="0"/>
        <w:jc w:val="left"/>
        <w:outlineLvl w:val="0"/>
        <w:rPr>
          <w:rFonts w:ascii="宋体"/>
          <w:b/>
          <w:bCs/>
          <w:sz w:val="30"/>
          <w:szCs w:val="30"/>
        </w:rPr>
      </w:pPr>
      <w:bookmarkStart w:id="0" w:name="_Toc355776444"/>
      <w:bookmarkStart w:id="1" w:name="_Toc355789802"/>
      <w:r w:rsidRPr="00483E4A">
        <w:rPr>
          <w:rFonts w:ascii="宋体" w:hAnsi="宋体" w:cs="宋体" w:hint="eastAsia"/>
          <w:b/>
          <w:bCs/>
          <w:sz w:val="30"/>
          <w:szCs w:val="30"/>
        </w:rPr>
        <w:t>系统</w:t>
      </w:r>
      <w:r>
        <w:rPr>
          <w:rFonts w:ascii="宋体" w:hAnsi="宋体" w:cs="宋体" w:hint="eastAsia"/>
          <w:b/>
          <w:bCs/>
          <w:sz w:val="30"/>
          <w:szCs w:val="30"/>
        </w:rPr>
        <w:t>的性能和</w:t>
      </w:r>
      <w:r w:rsidRPr="00483E4A">
        <w:rPr>
          <w:rFonts w:ascii="宋体" w:hAnsi="宋体" w:cs="宋体" w:hint="eastAsia"/>
          <w:b/>
          <w:bCs/>
          <w:sz w:val="30"/>
          <w:szCs w:val="30"/>
        </w:rPr>
        <w:t>特点</w:t>
      </w:r>
      <w:bookmarkEnd w:id="0"/>
      <w:bookmarkEnd w:id="1"/>
    </w:p>
    <w:p w:rsidR="00BD29BB" w:rsidRPr="00483E4A" w:rsidRDefault="00BD29BB" w:rsidP="008B471D">
      <w:pPr>
        <w:spacing w:line="360" w:lineRule="auto"/>
        <w:ind w:firstLineChars="200" w:firstLine="480"/>
        <w:rPr>
          <w:rFonts w:ascii="宋体"/>
          <w:sz w:val="24"/>
          <w:szCs w:val="24"/>
        </w:rPr>
      </w:pPr>
      <w:r w:rsidRPr="00483E4A">
        <w:rPr>
          <w:rFonts w:ascii="宋体" w:hAnsi="宋体" w:cs="宋体"/>
          <w:sz w:val="24"/>
          <w:szCs w:val="24"/>
        </w:rPr>
        <w:t>FlashRES-UNIVERSAL</w:t>
      </w:r>
      <w:r w:rsidRPr="00483E4A">
        <w:rPr>
          <w:rFonts w:ascii="宋体" w:hAnsi="宋体" w:cs="宋体" w:hint="eastAsia"/>
          <w:sz w:val="24"/>
          <w:szCs w:val="24"/>
        </w:rPr>
        <w:t>是一个</w:t>
      </w:r>
      <w:r w:rsidRPr="00483E4A">
        <w:rPr>
          <w:rFonts w:ascii="宋体" w:hAnsi="宋体" w:cs="宋体"/>
          <w:sz w:val="24"/>
          <w:szCs w:val="24"/>
        </w:rPr>
        <w:t>61</w:t>
      </w:r>
      <w:r w:rsidRPr="00483E4A">
        <w:rPr>
          <w:rFonts w:ascii="宋体" w:hAnsi="宋体" w:cs="宋体" w:hint="eastAsia"/>
          <w:sz w:val="24"/>
          <w:szCs w:val="24"/>
        </w:rPr>
        <w:t>道，不受采集装置限制的多电极，全波形数据采集与反演系统。</w:t>
      </w:r>
    </w:p>
    <w:p w:rsidR="00BD29BB" w:rsidRPr="000D0D98" w:rsidRDefault="00BD29BB" w:rsidP="008B471D">
      <w:pPr>
        <w:spacing w:line="360" w:lineRule="auto"/>
        <w:rPr>
          <w:rFonts w:ascii="宋体" w:hAnsi="宋体" w:cs="宋体"/>
          <w:b/>
          <w:bCs/>
          <w:sz w:val="24"/>
          <w:szCs w:val="24"/>
        </w:rPr>
      </w:pPr>
      <w:r w:rsidRPr="000D0D98">
        <w:rPr>
          <w:rFonts w:ascii="宋体" w:hAnsi="宋体" w:cs="宋体" w:hint="eastAsia"/>
          <w:b/>
          <w:bCs/>
          <w:sz w:val="24"/>
          <w:szCs w:val="24"/>
        </w:rPr>
        <w:t>它可被用于以下方法</w:t>
      </w:r>
      <w:r w:rsidRPr="000D0D98">
        <w:rPr>
          <w:rFonts w:ascii="宋体" w:hAnsi="宋体" w:cs="宋体"/>
          <w:b/>
          <w:bCs/>
          <w:sz w:val="24"/>
          <w:szCs w:val="24"/>
        </w:rPr>
        <w:t>:</w:t>
      </w:r>
    </w:p>
    <w:p w:rsidR="00BD29BB" w:rsidRPr="00483E4A" w:rsidRDefault="00BD29BB" w:rsidP="008B471D">
      <w:pPr>
        <w:numPr>
          <w:ilvl w:val="0"/>
          <w:numId w:val="1"/>
        </w:numPr>
        <w:spacing w:line="360" w:lineRule="auto"/>
        <w:ind w:left="0" w:firstLine="0"/>
        <w:jc w:val="left"/>
        <w:rPr>
          <w:rFonts w:ascii="宋体"/>
          <w:sz w:val="24"/>
          <w:szCs w:val="24"/>
        </w:rPr>
      </w:pPr>
      <w:r w:rsidRPr="00483E4A">
        <w:rPr>
          <w:rFonts w:ascii="宋体" w:hAnsi="宋体" w:cs="宋体" w:hint="eastAsia"/>
          <w:sz w:val="24"/>
          <w:szCs w:val="24"/>
        </w:rPr>
        <w:t>地表方法</w:t>
      </w:r>
    </w:p>
    <w:p w:rsidR="00BD29BB" w:rsidRPr="00483E4A" w:rsidRDefault="00BD29BB" w:rsidP="008B471D">
      <w:pPr>
        <w:numPr>
          <w:ilvl w:val="0"/>
          <w:numId w:val="1"/>
        </w:numPr>
        <w:spacing w:line="360" w:lineRule="auto"/>
        <w:ind w:left="0" w:firstLine="0"/>
        <w:jc w:val="left"/>
        <w:rPr>
          <w:rFonts w:ascii="宋体"/>
          <w:sz w:val="24"/>
          <w:szCs w:val="24"/>
        </w:rPr>
      </w:pPr>
      <w:r w:rsidRPr="00483E4A">
        <w:rPr>
          <w:rFonts w:ascii="宋体" w:hAnsi="宋体" w:cs="宋体" w:hint="eastAsia"/>
          <w:sz w:val="24"/>
          <w:szCs w:val="24"/>
        </w:rPr>
        <w:t>井</w:t>
      </w:r>
      <w:r w:rsidRPr="00483E4A">
        <w:rPr>
          <w:rFonts w:ascii="宋体" w:cs="宋体"/>
          <w:sz w:val="24"/>
          <w:szCs w:val="24"/>
        </w:rPr>
        <w:t>-</w:t>
      </w:r>
      <w:r w:rsidRPr="00483E4A">
        <w:rPr>
          <w:rFonts w:ascii="宋体" w:hAnsi="宋体" w:cs="宋体" w:hint="eastAsia"/>
          <w:sz w:val="24"/>
          <w:szCs w:val="24"/>
        </w:rPr>
        <w:t>地方法</w:t>
      </w:r>
    </w:p>
    <w:p w:rsidR="00BD29BB" w:rsidRPr="00483E4A" w:rsidRDefault="00BD29BB" w:rsidP="008B471D">
      <w:pPr>
        <w:numPr>
          <w:ilvl w:val="0"/>
          <w:numId w:val="1"/>
        </w:numPr>
        <w:spacing w:line="360" w:lineRule="auto"/>
        <w:ind w:left="0" w:firstLine="0"/>
        <w:jc w:val="left"/>
        <w:rPr>
          <w:rFonts w:ascii="宋体"/>
          <w:sz w:val="24"/>
          <w:szCs w:val="24"/>
        </w:rPr>
      </w:pPr>
      <w:r w:rsidRPr="00483E4A">
        <w:rPr>
          <w:rFonts w:ascii="宋体" w:hAnsi="宋体" w:cs="宋体" w:hint="eastAsia"/>
          <w:sz w:val="24"/>
          <w:szCs w:val="24"/>
        </w:rPr>
        <w:t>井</w:t>
      </w:r>
      <w:r w:rsidRPr="00483E4A">
        <w:rPr>
          <w:rFonts w:ascii="宋体" w:cs="宋体"/>
          <w:sz w:val="24"/>
          <w:szCs w:val="24"/>
        </w:rPr>
        <w:t>-</w:t>
      </w:r>
      <w:r w:rsidRPr="00483E4A">
        <w:rPr>
          <w:rFonts w:ascii="宋体" w:hAnsi="宋体" w:cs="宋体" w:hint="eastAsia"/>
          <w:sz w:val="24"/>
          <w:szCs w:val="24"/>
        </w:rPr>
        <w:t>井方法</w:t>
      </w:r>
    </w:p>
    <w:p w:rsidR="00BD29BB" w:rsidRPr="00483E4A" w:rsidRDefault="00BD29BB" w:rsidP="008B471D">
      <w:pPr>
        <w:numPr>
          <w:ilvl w:val="0"/>
          <w:numId w:val="1"/>
        </w:numPr>
        <w:spacing w:line="360" w:lineRule="auto"/>
        <w:ind w:left="0" w:firstLine="0"/>
        <w:jc w:val="left"/>
        <w:rPr>
          <w:rFonts w:ascii="宋体"/>
          <w:sz w:val="24"/>
          <w:szCs w:val="24"/>
        </w:rPr>
      </w:pPr>
      <w:r w:rsidRPr="00483E4A">
        <w:rPr>
          <w:rFonts w:ascii="宋体" w:hAnsi="宋体" w:cs="宋体" w:hint="eastAsia"/>
          <w:sz w:val="24"/>
          <w:szCs w:val="24"/>
        </w:rPr>
        <w:t>点</w:t>
      </w:r>
      <w:r w:rsidRPr="00483E4A">
        <w:rPr>
          <w:rFonts w:ascii="宋体" w:cs="宋体"/>
          <w:sz w:val="24"/>
          <w:szCs w:val="24"/>
        </w:rPr>
        <w:t>-</w:t>
      </w:r>
      <w:r w:rsidRPr="00483E4A">
        <w:rPr>
          <w:rFonts w:ascii="宋体" w:hAnsi="宋体" w:cs="宋体" w:hint="eastAsia"/>
          <w:sz w:val="24"/>
          <w:szCs w:val="24"/>
        </w:rPr>
        <w:t>地方法</w:t>
      </w:r>
    </w:p>
    <w:p w:rsidR="00BD29BB" w:rsidRPr="00483E4A" w:rsidRDefault="00BD29BB" w:rsidP="008B471D">
      <w:pPr>
        <w:numPr>
          <w:ilvl w:val="0"/>
          <w:numId w:val="1"/>
        </w:numPr>
        <w:spacing w:line="360" w:lineRule="auto"/>
        <w:ind w:left="0" w:firstLine="0"/>
        <w:jc w:val="left"/>
        <w:rPr>
          <w:rFonts w:ascii="宋体"/>
          <w:sz w:val="24"/>
          <w:szCs w:val="24"/>
        </w:rPr>
      </w:pPr>
      <w:r w:rsidRPr="00483E4A">
        <w:rPr>
          <w:rFonts w:ascii="宋体" w:hAnsi="宋体" w:cs="宋体" w:hint="eastAsia"/>
          <w:sz w:val="24"/>
          <w:szCs w:val="24"/>
        </w:rPr>
        <w:t>高效</w:t>
      </w:r>
      <w:r w:rsidRPr="00483E4A">
        <w:rPr>
          <w:rFonts w:ascii="宋体" w:hAnsi="宋体" w:cs="宋体"/>
          <w:sz w:val="24"/>
          <w:szCs w:val="24"/>
        </w:rPr>
        <w:t>Mise-a-la-Masse</w:t>
      </w:r>
      <w:r w:rsidRPr="00483E4A">
        <w:rPr>
          <w:rFonts w:ascii="宋体" w:hAnsi="宋体" w:cs="宋体" w:hint="eastAsia"/>
          <w:sz w:val="24"/>
          <w:szCs w:val="24"/>
        </w:rPr>
        <w:t>方法</w:t>
      </w:r>
    </w:p>
    <w:p w:rsidR="00BD29BB" w:rsidRPr="00483E4A" w:rsidRDefault="00BD29BB" w:rsidP="008B471D">
      <w:pPr>
        <w:numPr>
          <w:ilvl w:val="0"/>
          <w:numId w:val="1"/>
        </w:numPr>
        <w:spacing w:line="360" w:lineRule="auto"/>
        <w:ind w:left="0" w:firstLine="0"/>
        <w:jc w:val="left"/>
        <w:rPr>
          <w:rFonts w:ascii="宋体"/>
          <w:sz w:val="24"/>
          <w:szCs w:val="24"/>
        </w:rPr>
      </w:pPr>
      <w:r w:rsidRPr="00483E4A">
        <w:rPr>
          <w:rFonts w:ascii="宋体" w:hAnsi="宋体" w:cs="宋体"/>
          <w:sz w:val="24"/>
          <w:szCs w:val="24"/>
        </w:rPr>
        <w:t>3D</w:t>
      </w:r>
      <w:r w:rsidRPr="00483E4A">
        <w:rPr>
          <w:rFonts w:ascii="宋体" w:hAnsi="宋体" w:cs="宋体" w:hint="eastAsia"/>
          <w:sz w:val="24"/>
          <w:szCs w:val="24"/>
        </w:rPr>
        <w:t>方法</w:t>
      </w:r>
    </w:p>
    <w:p w:rsidR="00BD29BB" w:rsidRPr="00483E4A" w:rsidRDefault="00BD29BB" w:rsidP="008B471D">
      <w:pPr>
        <w:numPr>
          <w:ilvl w:val="0"/>
          <w:numId w:val="1"/>
        </w:numPr>
        <w:spacing w:line="360" w:lineRule="auto"/>
        <w:ind w:left="0" w:firstLine="0"/>
        <w:jc w:val="left"/>
        <w:rPr>
          <w:rFonts w:ascii="宋体"/>
          <w:sz w:val="24"/>
          <w:szCs w:val="24"/>
        </w:rPr>
      </w:pPr>
      <w:r w:rsidRPr="00483E4A">
        <w:rPr>
          <w:rFonts w:ascii="宋体" w:hAnsi="宋体" w:cs="宋体" w:hint="eastAsia"/>
          <w:sz w:val="24"/>
          <w:szCs w:val="24"/>
        </w:rPr>
        <w:t>延时方法</w:t>
      </w:r>
    </w:p>
    <w:p w:rsidR="00BD29BB" w:rsidRPr="00483E4A" w:rsidRDefault="00BD29BB" w:rsidP="008B471D">
      <w:pPr>
        <w:spacing w:line="360" w:lineRule="auto"/>
        <w:rPr>
          <w:rFonts w:ascii="宋体"/>
          <w:sz w:val="24"/>
          <w:szCs w:val="24"/>
        </w:rPr>
      </w:pPr>
      <w:r w:rsidRPr="00483E4A">
        <w:rPr>
          <w:rFonts w:ascii="宋体" w:hAnsi="宋体" w:cs="宋体" w:hint="eastAsia"/>
          <w:sz w:val="24"/>
          <w:szCs w:val="24"/>
        </w:rPr>
        <w:t>这些勘探方法可以帮助用户完成以下勘探类型：</w:t>
      </w:r>
    </w:p>
    <w:p w:rsidR="00BD29BB" w:rsidRPr="00483E4A" w:rsidRDefault="00BD29BB" w:rsidP="008B471D">
      <w:pPr>
        <w:numPr>
          <w:ilvl w:val="0"/>
          <w:numId w:val="2"/>
        </w:numPr>
        <w:spacing w:line="360" w:lineRule="auto"/>
        <w:ind w:left="0" w:firstLine="0"/>
        <w:jc w:val="left"/>
        <w:rPr>
          <w:rFonts w:ascii="宋体"/>
          <w:sz w:val="24"/>
          <w:szCs w:val="24"/>
        </w:rPr>
      </w:pPr>
      <w:r w:rsidRPr="00483E4A">
        <w:rPr>
          <w:rFonts w:ascii="宋体" w:hAnsi="宋体" w:cs="宋体" w:hint="eastAsia"/>
          <w:sz w:val="24"/>
          <w:szCs w:val="24"/>
        </w:rPr>
        <w:t>考古勘探</w:t>
      </w:r>
    </w:p>
    <w:p w:rsidR="00BD29BB" w:rsidRPr="00483E4A" w:rsidRDefault="00BD29BB" w:rsidP="008B471D">
      <w:pPr>
        <w:numPr>
          <w:ilvl w:val="0"/>
          <w:numId w:val="2"/>
        </w:numPr>
        <w:spacing w:line="360" w:lineRule="auto"/>
        <w:ind w:left="0" w:firstLine="0"/>
        <w:jc w:val="left"/>
        <w:rPr>
          <w:rFonts w:ascii="宋体"/>
          <w:sz w:val="24"/>
          <w:szCs w:val="24"/>
        </w:rPr>
      </w:pPr>
      <w:r w:rsidRPr="00483E4A">
        <w:rPr>
          <w:rFonts w:ascii="宋体" w:hAnsi="宋体" w:cs="宋体" w:hint="eastAsia"/>
          <w:sz w:val="24"/>
          <w:szCs w:val="24"/>
        </w:rPr>
        <w:t>地下水勘探</w:t>
      </w:r>
    </w:p>
    <w:p w:rsidR="00BD29BB" w:rsidRPr="00483E4A" w:rsidRDefault="00BD29BB" w:rsidP="008B471D">
      <w:pPr>
        <w:numPr>
          <w:ilvl w:val="0"/>
          <w:numId w:val="2"/>
        </w:numPr>
        <w:spacing w:line="360" w:lineRule="auto"/>
        <w:ind w:left="0" w:firstLine="0"/>
        <w:jc w:val="left"/>
        <w:rPr>
          <w:rFonts w:ascii="宋体"/>
          <w:sz w:val="24"/>
          <w:szCs w:val="24"/>
        </w:rPr>
      </w:pPr>
      <w:r w:rsidRPr="00483E4A">
        <w:rPr>
          <w:rFonts w:ascii="宋体" w:hAnsi="宋体" w:cs="宋体" w:hint="eastAsia"/>
          <w:sz w:val="24"/>
          <w:szCs w:val="24"/>
        </w:rPr>
        <w:t>岩性结构勘探</w:t>
      </w:r>
    </w:p>
    <w:p w:rsidR="00BD29BB" w:rsidRPr="00483E4A" w:rsidRDefault="00BD29BB" w:rsidP="008B471D">
      <w:pPr>
        <w:numPr>
          <w:ilvl w:val="0"/>
          <w:numId w:val="2"/>
        </w:numPr>
        <w:spacing w:line="360" w:lineRule="auto"/>
        <w:ind w:left="0" w:firstLine="0"/>
        <w:jc w:val="left"/>
        <w:rPr>
          <w:rFonts w:ascii="宋体"/>
          <w:sz w:val="24"/>
          <w:szCs w:val="24"/>
        </w:rPr>
      </w:pPr>
      <w:r w:rsidRPr="00483E4A">
        <w:rPr>
          <w:rFonts w:ascii="宋体" w:hAnsi="宋体" w:cs="宋体" w:hint="eastAsia"/>
          <w:sz w:val="24"/>
          <w:szCs w:val="24"/>
        </w:rPr>
        <w:t>污染源绘图</w:t>
      </w:r>
    </w:p>
    <w:p w:rsidR="00BD29BB" w:rsidRPr="00483E4A" w:rsidRDefault="00BD29BB" w:rsidP="008B471D">
      <w:pPr>
        <w:numPr>
          <w:ilvl w:val="0"/>
          <w:numId w:val="2"/>
        </w:numPr>
        <w:spacing w:line="360" w:lineRule="auto"/>
        <w:ind w:left="0" w:firstLine="0"/>
        <w:jc w:val="left"/>
        <w:rPr>
          <w:rFonts w:ascii="宋体"/>
          <w:sz w:val="24"/>
          <w:szCs w:val="24"/>
        </w:rPr>
      </w:pPr>
      <w:r w:rsidRPr="00483E4A">
        <w:rPr>
          <w:rFonts w:ascii="宋体" w:hAnsi="宋体" w:cs="宋体" w:hint="eastAsia"/>
          <w:sz w:val="24"/>
          <w:szCs w:val="24"/>
        </w:rPr>
        <w:t>滑坡带定位</w:t>
      </w:r>
    </w:p>
    <w:p w:rsidR="00BD29BB" w:rsidRPr="00483E4A" w:rsidRDefault="00BD29BB" w:rsidP="008B471D">
      <w:pPr>
        <w:numPr>
          <w:ilvl w:val="0"/>
          <w:numId w:val="2"/>
        </w:numPr>
        <w:spacing w:line="360" w:lineRule="auto"/>
        <w:ind w:left="0" w:firstLine="0"/>
        <w:jc w:val="left"/>
        <w:rPr>
          <w:rFonts w:ascii="宋体"/>
          <w:sz w:val="24"/>
          <w:szCs w:val="24"/>
        </w:rPr>
      </w:pPr>
      <w:r w:rsidRPr="00483E4A">
        <w:rPr>
          <w:rFonts w:ascii="宋体" w:hAnsi="宋体" w:cs="宋体" w:hint="eastAsia"/>
          <w:sz w:val="24"/>
          <w:szCs w:val="24"/>
        </w:rPr>
        <w:t>大桥，隧道安全检测</w:t>
      </w:r>
    </w:p>
    <w:p w:rsidR="00BD29BB" w:rsidRPr="00483E4A" w:rsidRDefault="00BD29BB" w:rsidP="008B471D">
      <w:pPr>
        <w:numPr>
          <w:ilvl w:val="0"/>
          <w:numId w:val="2"/>
        </w:numPr>
        <w:spacing w:line="360" w:lineRule="auto"/>
        <w:ind w:left="0" w:firstLine="0"/>
        <w:jc w:val="left"/>
        <w:rPr>
          <w:rFonts w:ascii="宋体"/>
          <w:sz w:val="24"/>
          <w:szCs w:val="24"/>
        </w:rPr>
      </w:pPr>
      <w:r w:rsidRPr="00483E4A">
        <w:rPr>
          <w:rFonts w:ascii="宋体" w:hAnsi="宋体" w:cs="宋体" w:hint="eastAsia"/>
          <w:sz w:val="24"/>
          <w:szCs w:val="24"/>
        </w:rPr>
        <w:t>空洞勘探</w:t>
      </w:r>
    </w:p>
    <w:p w:rsidR="00BD29BB" w:rsidRPr="00483E4A" w:rsidRDefault="00BD29BB" w:rsidP="008B471D">
      <w:pPr>
        <w:numPr>
          <w:ilvl w:val="0"/>
          <w:numId w:val="2"/>
        </w:numPr>
        <w:spacing w:line="360" w:lineRule="auto"/>
        <w:ind w:left="0" w:firstLine="0"/>
        <w:jc w:val="left"/>
        <w:rPr>
          <w:rFonts w:ascii="宋体"/>
          <w:sz w:val="24"/>
          <w:szCs w:val="24"/>
        </w:rPr>
      </w:pPr>
      <w:r w:rsidRPr="00483E4A">
        <w:rPr>
          <w:rFonts w:ascii="宋体" w:hAnsi="宋体" w:cs="宋体" w:hint="eastAsia"/>
          <w:sz w:val="24"/>
          <w:szCs w:val="24"/>
        </w:rPr>
        <w:t>工程勘探</w:t>
      </w:r>
    </w:p>
    <w:p w:rsidR="00BD29BB" w:rsidRPr="00483E4A" w:rsidRDefault="00BD29BB" w:rsidP="008B471D">
      <w:pPr>
        <w:numPr>
          <w:ilvl w:val="0"/>
          <w:numId w:val="2"/>
        </w:numPr>
        <w:spacing w:line="360" w:lineRule="auto"/>
        <w:ind w:left="0" w:firstLine="0"/>
        <w:jc w:val="left"/>
        <w:rPr>
          <w:rFonts w:ascii="宋体"/>
          <w:sz w:val="24"/>
          <w:szCs w:val="24"/>
        </w:rPr>
      </w:pPr>
      <w:r w:rsidRPr="00483E4A">
        <w:rPr>
          <w:rFonts w:ascii="宋体" w:hAnsi="宋体" w:cs="宋体" w:hint="eastAsia"/>
          <w:sz w:val="24"/>
          <w:szCs w:val="24"/>
        </w:rPr>
        <w:t>大坝安全检测</w:t>
      </w:r>
    </w:p>
    <w:p w:rsidR="00BD29BB" w:rsidRPr="00483E4A" w:rsidRDefault="00BD29BB" w:rsidP="008B471D">
      <w:pPr>
        <w:spacing w:line="360" w:lineRule="auto"/>
        <w:jc w:val="left"/>
        <w:rPr>
          <w:rFonts w:ascii="宋体"/>
          <w:sz w:val="24"/>
          <w:szCs w:val="24"/>
        </w:rPr>
      </w:pPr>
      <w:r>
        <w:rPr>
          <w:rFonts w:ascii="宋体" w:hAnsi="宋体" w:cs="宋体"/>
          <w:sz w:val="24"/>
          <w:szCs w:val="24"/>
        </w:rPr>
        <w:t>10.</w:t>
      </w:r>
      <w:r w:rsidRPr="00483E4A">
        <w:rPr>
          <w:rFonts w:ascii="宋体" w:hAnsi="宋体" w:cs="宋体" w:hint="eastAsia"/>
          <w:sz w:val="24"/>
          <w:szCs w:val="24"/>
        </w:rPr>
        <w:t>矿物勘探</w:t>
      </w:r>
    </w:p>
    <w:p w:rsidR="00BD29BB" w:rsidRPr="00483E4A" w:rsidRDefault="00BD29BB" w:rsidP="008B471D">
      <w:pPr>
        <w:spacing w:line="360" w:lineRule="auto"/>
        <w:rPr>
          <w:rFonts w:ascii="宋体" w:cs="宋体"/>
          <w:sz w:val="24"/>
          <w:szCs w:val="24"/>
        </w:rPr>
      </w:pPr>
    </w:p>
    <w:p w:rsidR="00BD29BB" w:rsidRDefault="00BD29BB" w:rsidP="00FB783C">
      <w:pPr>
        <w:spacing w:line="360" w:lineRule="auto"/>
        <w:ind w:firstLineChars="200" w:firstLine="562"/>
        <w:rPr>
          <w:rFonts w:ascii="宋体" w:cs="宋体"/>
          <w:b/>
          <w:bCs/>
          <w:sz w:val="28"/>
          <w:szCs w:val="28"/>
        </w:rPr>
      </w:pPr>
    </w:p>
    <w:p w:rsidR="00BD29BB" w:rsidRDefault="00BD29BB" w:rsidP="00FB783C">
      <w:pPr>
        <w:spacing w:line="360" w:lineRule="auto"/>
        <w:ind w:firstLineChars="200" w:firstLine="562"/>
        <w:rPr>
          <w:rFonts w:ascii="宋体" w:cs="宋体"/>
          <w:b/>
          <w:bCs/>
          <w:sz w:val="28"/>
          <w:szCs w:val="28"/>
        </w:rPr>
      </w:pPr>
    </w:p>
    <w:p w:rsidR="00BD29BB" w:rsidRDefault="00BD29BB" w:rsidP="00FB783C">
      <w:pPr>
        <w:spacing w:line="360" w:lineRule="auto"/>
        <w:ind w:firstLineChars="200" w:firstLine="562"/>
        <w:rPr>
          <w:rFonts w:ascii="宋体" w:cs="宋体"/>
          <w:b/>
          <w:bCs/>
          <w:sz w:val="28"/>
          <w:szCs w:val="28"/>
        </w:rPr>
      </w:pPr>
    </w:p>
    <w:p w:rsidR="00BD29BB" w:rsidRDefault="00BD29BB" w:rsidP="00FB783C">
      <w:pPr>
        <w:spacing w:line="360" w:lineRule="auto"/>
        <w:ind w:firstLineChars="200" w:firstLine="562"/>
        <w:rPr>
          <w:rFonts w:ascii="宋体" w:cs="宋体"/>
          <w:b/>
          <w:bCs/>
          <w:sz w:val="28"/>
          <w:szCs w:val="28"/>
        </w:rPr>
      </w:pPr>
    </w:p>
    <w:p w:rsidR="00BD29BB" w:rsidRDefault="00BD29BB" w:rsidP="00FB783C">
      <w:pPr>
        <w:spacing w:line="360" w:lineRule="auto"/>
        <w:ind w:firstLineChars="200" w:firstLine="562"/>
        <w:rPr>
          <w:rFonts w:ascii="宋体" w:cs="宋体"/>
          <w:b/>
          <w:bCs/>
          <w:sz w:val="28"/>
          <w:szCs w:val="28"/>
        </w:rPr>
      </w:pPr>
    </w:p>
    <w:p w:rsidR="00BD29BB" w:rsidRDefault="00BD29BB" w:rsidP="00FB783C">
      <w:pPr>
        <w:spacing w:line="360" w:lineRule="auto"/>
        <w:ind w:firstLineChars="200" w:firstLine="562"/>
        <w:rPr>
          <w:rFonts w:ascii="宋体" w:cs="宋体"/>
          <w:b/>
          <w:bCs/>
          <w:sz w:val="28"/>
          <w:szCs w:val="28"/>
        </w:rPr>
      </w:pPr>
    </w:p>
    <w:p w:rsidR="00BD29BB" w:rsidRPr="00515261" w:rsidRDefault="00BD29BB" w:rsidP="00FB783C">
      <w:pPr>
        <w:spacing w:line="360" w:lineRule="auto"/>
        <w:ind w:firstLineChars="200" w:firstLine="480"/>
        <w:rPr>
          <w:rFonts w:ascii="宋体"/>
          <w:sz w:val="24"/>
          <w:szCs w:val="24"/>
        </w:rPr>
      </w:pPr>
    </w:p>
    <w:p w:rsidR="00BD29BB" w:rsidRDefault="00BD29BB">
      <w:r w:rsidRPr="0077343C">
        <w:rPr>
          <w:noProof/>
        </w:rPr>
        <w:pict>
          <v:shape id="_x0000_i1027" type="#_x0000_t75" style="width:415.5pt;height:276.75pt;visibility:visible">
            <v:imagedata r:id="rId11" o:title=""/>
          </v:shape>
        </w:pict>
      </w:r>
    </w:p>
    <w:p w:rsidR="00BD29BB" w:rsidRPr="00C8088C" w:rsidRDefault="00BD29BB" w:rsidP="00C8088C">
      <w:pPr>
        <w:jc w:val="center"/>
        <w:rPr>
          <w:b/>
          <w:szCs w:val="21"/>
        </w:rPr>
      </w:pPr>
      <w:r w:rsidRPr="00C8088C">
        <w:rPr>
          <w:b/>
          <w:szCs w:val="21"/>
        </w:rPr>
        <w:t>3H-2000PS1/2</w:t>
      </w:r>
      <w:r w:rsidRPr="00C8088C">
        <w:rPr>
          <w:rFonts w:hint="eastAsia"/>
          <w:b/>
          <w:szCs w:val="21"/>
        </w:rPr>
        <w:t>型静态容量法</w:t>
      </w:r>
    </w:p>
    <w:p w:rsidR="00BD29BB" w:rsidRPr="00C8088C" w:rsidRDefault="00BD29BB" w:rsidP="00C8088C">
      <w:pPr>
        <w:jc w:val="center"/>
        <w:rPr>
          <w:b/>
          <w:sz w:val="24"/>
          <w:szCs w:val="24"/>
        </w:rPr>
      </w:pPr>
      <w:r w:rsidRPr="00C8088C">
        <w:rPr>
          <w:rFonts w:hint="eastAsia"/>
          <w:b/>
          <w:sz w:val="24"/>
          <w:szCs w:val="24"/>
        </w:rPr>
        <w:t>比</w:t>
      </w:r>
      <w:r w:rsidRPr="00C8088C">
        <w:rPr>
          <w:b/>
          <w:sz w:val="24"/>
          <w:szCs w:val="24"/>
        </w:rPr>
        <w:t xml:space="preserve"> </w:t>
      </w:r>
      <w:r w:rsidRPr="00C8088C">
        <w:rPr>
          <w:rFonts w:hint="eastAsia"/>
          <w:b/>
          <w:sz w:val="24"/>
          <w:szCs w:val="24"/>
        </w:rPr>
        <w:t>表</w:t>
      </w:r>
      <w:r w:rsidRPr="00C8088C">
        <w:rPr>
          <w:b/>
          <w:sz w:val="24"/>
          <w:szCs w:val="24"/>
        </w:rPr>
        <w:t xml:space="preserve"> </w:t>
      </w:r>
      <w:r w:rsidRPr="00C8088C">
        <w:rPr>
          <w:rFonts w:hint="eastAsia"/>
          <w:b/>
          <w:sz w:val="24"/>
          <w:szCs w:val="24"/>
        </w:rPr>
        <w:t>面</w:t>
      </w:r>
      <w:r w:rsidRPr="00C8088C">
        <w:rPr>
          <w:b/>
          <w:sz w:val="24"/>
          <w:szCs w:val="24"/>
        </w:rPr>
        <w:t xml:space="preserve"> </w:t>
      </w:r>
      <w:r w:rsidRPr="00C8088C">
        <w:rPr>
          <w:rFonts w:hint="eastAsia"/>
          <w:b/>
          <w:sz w:val="24"/>
          <w:szCs w:val="24"/>
        </w:rPr>
        <w:t>及</w:t>
      </w:r>
      <w:r w:rsidRPr="00C8088C">
        <w:rPr>
          <w:b/>
          <w:sz w:val="24"/>
          <w:szCs w:val="24"/>
        </w:rPr>
        <w:t xml:space="preserve"> </w:t>
      </w:r>
      <w:r w:rsidRPr="00C8088C">
        <w:rPr>
          <w:rFonts w:hint="eastAsia"/>
          <w:b/>
          <w:sz w:val="24"/>
          <w:szCs w:val="24"/>
        </w:rPr>
        <w:t>孔</w:t>
      </w:r>
      <w:r w:rsidRPr="00C8088C">
        <w:rPr>
          <w:b/>
          <w:sz w:val="24"/>
          <w:szCs w:val="24"/>
        </w:rPr>
        <w:t xml:space="preserve"> </w:t>
      </w:r>
      <w:r w:rsidRPr="00C8088C">
        <w:rPr>
          <w:rFonts w:hint="eastAsia"/>
          <w:b/>
          <w:sz w:val="24"/>
          <w:szCs w:val="24"/>
        </w:rPr>
        <w:t>径</w:t>
      </w:r>
      <w:r w:rsidRPr="00C8088C">
        <w:rPr>
          <w:b/>
          <w:sz w:val="24"/>
          <w:szCs w:val="24"/>
        </w:rPr>
        <w:t xml:space="preserve"> </w:t>
      </w:r>
      <w:r w:rsidRPr="00C8088C">
        <w:rPr>
          <w:rFonts w:hint="eastAsia"/>
          <w:b/>
          <w:sz w:val="24"/>
          <w:szCs w:val="24"/>
        </w:rPr>
        <w:t>分</w:t>
      </w:r>
      <w:r w:rsidRPr="00C8088C">
        <w:rPr>
          <w:b/>
          <w:sz w:val="24"/>
          <w:szCs w:val="24"/>
        </w:rPr>
        <w:t xml:space="preserve"> </w:t>
      </w:r>
      <w:r w:rsidRPr="00C8088C">
        <w:rPr>
          <w:rFonts w:hint="eastAsia"/>
          <w:b/>
          <w:sz w:val="24"/>
          <w:szCs w:val="24"/>
        </w:rPr>
        <w:t>析</w:t>
      </w:r>
      <w:r w:rsidRPr="00C8088C">
        <w:rPr>
          <w:b/>
          <w:sz w:val="24"/>
          <w:szCs w:val="24"/>
        </w:rPr>
        <w:t xml:space="preserve"> </w:t>
      </w:r>
      <w:r w:rsidRPr="00C8088C">
        <w:rPr>
          <w:rFonts w:hint="eastAsia"/>
          <w:b/>
          <w:sz w:val="24"/>
          <w:szCs w:val="24"/>
        </w:rPr>
        <w:t>仪</w:t>
      </w:r>
    </w:p>
    <w:p w:rsidR="00BD29BB" w:rsidRPr="00C8088C" w:rsidRDefault="00BD29BB" w:rsidP="00C8088C">
      <w:pPr>
        <w:rPr>
          <w:b/>
          <w:sz w:val="24"/>
          <w:szCs w:val="24"/>
        </w:rPr>
      </w:pPr>
    </w:p>
    <w:p w:rsidR="00BD29BB" w:rsidRDefault="00BD29BB" w:rsidP="00CF2AAA">
      <w:pPr>
        <w:spacing w:line="360" w:lineRule="auto"/>
        <w:jc w:val="left"/>
        <w:rPr>
          <w:shd w:val="clear" w:color="auto" w:fill="FFFFFF"/>
        </w:rPr>
      </w:pPr>
      <w:r w:rsidRPr="00CF2AAA">
        <w:rPr>
          <w:rFonts w:hint="eastAsia"/>
          <w:b/>
          <w:szCs w:val="24"/>
        </w:rPr>
        <w:t>性能：</w:t>
      </w:r>
      <w:r w:rsidRPr="00CF2AAA">
        <w:rPr>
          <w:rFonts w:hint="eastAsia"/>
          <w:shd w:val="clear" w:color="auto" w:fill="FFFFFF"/>
        </w:rPr>
        <w:t>孔径的控制只允许所需大小的分子进入并通过，使催化剂产生预期的催化作用进而得到主要产物。化学吸附测试实验对选择特殊用途催化剂、催化剂生产商品质鉴定及测试催化剂的有效性以便确定何时更换催化剂等方面都非常的有价值。催化剂的活性表面及孔结构显著影响到反应速度。所以现在人们利用比表面及孔径分析仪，来表征材料样品的比表面和孔径的大小分布。</w:t>
      </w:r>
    </w:p>
    <w:p w:rsidR="00BD29BB" w:rsidRPr="00CF2AAA" w:rsidRDefault="00BD29BB" w:rsidP="00CF2AAA">
      <w:pPr>
        <w:spacing w:line="360" w:lineRule="auto"/>
        <w:jc w:val="left"/>
        <w:rPr>
          <w:shd w:val="clear" w:color="auto" w:fill="FFFFFF"/>
        </w:rPr>
      </w:pPr>
    </w:p>
    <w:p w:rsidR="00BD29BB" w:rsidRDefault="00BD29BB" w:rsidP="00CF2AAA">
      <w:pPr>
        <w:spacing w:line="360" w:lineRule="auto"/>
      </w:pPr>
      <w:r w:rsidRPr="00C8088C">
        <w:rPr>
          <w:rFonts w:hint="eastAsia"/>
          <w:b/>
        </w:rPr>
        <w:t>测试方法：</w:t>
      </w:r>
      <w:r w:rsidRPr="00CF2AAA">
        <w:t xml:space="preserve"> </w:t>
      </w:r>
      <w:r w:rsidRPr="00CF2AAA">
        <w:rPr>
          <w:rFonts w:hint="eastAsia"/>
        </w:rPr>
        <w:t>静态容量法</w:t>
      </w:r>
    </w:p>
    <w:p w:rsidR="00BD29BB" w:rsidRPr="00CF2AAA" w:rsidRDefault="00BD29BB" w:rsidP="00CF2AAA">
      <w:pPr>
        <w:spacing w:line="360" w:lineRule="auto"/>
        <w:rPr>
          <w:rFonts w:cs="宋体"/>
        </w:rPr>
      </w:pPr>
    </w:p>
    <w:p w:rsidR="00BD29BB" w:rsidRPr="00082A65" w:rsidRDefault="00BD29BB" w:rsidP="00CF2AAA">
      <w:pPr>
        <w:pStyle w:val="NormalWeb"/>
        <w:shd w:val="clear" w:color="auto" w:fill="FFFFFF"/>
        <w:spacing w:before="0" w:beforeAutospacing="0" w:after="225" w:afterAutospacing="0" w:line="360" w:lineRule="auto"/>
        <w:rPr>
          <w:rStyle w:val="Strong"/>
          <w:rFonts w:ascii="Arial" w:hAnsi="Arial" w:cs="Arial"/>
          <w:color w:val="333333"/>
        </w:rPr>
      </w:pPr>
      <w:r w:rsidRPr="00082A65">
        <w:rPr>
          <w:rStyle w:val="Strong"/>
          <w:rFonts w:ascii="Arial" w:hAnsi="Arial" w:cs="Arial" w:hint="eastAsia"/>
          <w:color w:val="333333"/>
        </w:rPr>
        <w:t>静态容量法比表面及孔径分析仪的使用步骤：</w:t>
      </w:r>
    </w:p>
    <w:p w:rsidR="00BD29BB" w:rsidRDefault="00BD29BB" w:rsidP="00CF2AAA">
      <w:pPr>
        <w:pStyle w:val="NormalWeb"/>
        <w:shd w:val="clear" w:color="auto" w:fill="FFFFFF"/>
        <w:spacing w:before="0" w:beforeAutospacing="0" w:after="225" w:afterAutospacing="0" w:line="360" w:lineRule="auto"/>
        <w:ind w:firstLine="480"/>
        <w:rPr>
          <w:rFonts w:ascii="Arial" w:hAnsi="Arial" w:cs="Arial"/>
          <w:color w:val="333333"/>
          <w:sz w:val="21"/>
          <w:szCs w:val="21"/>
        </w:rPr>
      </w:pPr>
      <w:r>
        <w:rPr>
          <w:rFonts w:ascii="Arial" w:hAnsi="Arial" w:cs="Arial" w:hint="eastAsia"/>
          <w:color w:val="333333"/>
          <w:sz w:val="21"/>
          <w:szCs w:val="21"/>
        </w:rPr>
        <w:t>静态容量法比表面及孔径分析仪的工作过程</w:t>
      </w:r>
      <w:r>
        <w:rPr>
          <w:rFonts w:ascii="Arial" w:hAnsi="Arial" w:cs="Arial"/>
          <w:color w:val="333333"/>
          <w:sz w:val="21"/>
          <w:szCs w:val="21"/>
        </w:rPr>
        <w:t>(</w:t>
      </w:r>
      <w:r>
        <w:rPr>
          <w:rFonts w:ascii="Arial" w:hAnsi="Arial" w:cs="Arial" w:hint="eastAsia"/>
          <w:color w:val="333333"/>
          <w:sz w:val="21"/>
          <w:szCs w:val="21"/>
        </w:rPr>
        <w:t>就吸附过程而言</w:t>
      </w:r>
      <w:r>
        <w:rPr>
          <w:rFonts w:ascii="Arial" w:hAnsi="Arial" w:cs="Arial"/>
          <w:color w:val="333333"/>
          <w:sz w:val="21"/>
          <w:szCs w:val="21"/>
        </w:rPr>
        <w:t>)</w:t>
      </w:r>
      <w:r>
        <w:rPr>
          <w:rFonts w:ascii="Arial" w:hAnsi="Arial" w:cs="Arial" w:hint="eastAsia"/>
          <w:color w:val="333333"/>
          <w:sz w:val="21"/>
          <w:szCs w:val="21"/>
        </w:rPr>
        <w:t>是在计算机控制下，按照设定的压力值逐步往测试系统中通入氮气，</w:t>
      </w:r>
      <w:r>
        <w:rPr>
          <w:rFonts w:ascii="Arial" w:hAnsi="Arial" w:cs="Arial"/>
          <w:color w:val="333333"/>
          <w:sz w:val="21"/>
          <w:szCs w:val="21"/>
        </w:rPr>
        <w:t>(</w:t>
      </w:r>
      <w:r>
        <w:rPr>
          <w:rFonts w:ascii="Arial" w:hAnsi="Arial" w:cs="Arial" w:hint="eastAsia"/>
          <w:color w:val="333333"/>
          <w:sz w:val="21"/>
          <w:szCs w:val="21"/>
        </w:rPr>
        <w:t>一般是使用氮气，现在也可以使用氪气、氦气等</w:t>
      </w:r>
      <w:r>
        <w:rPr>
          <w:rFonts w:ascii="Arial" w:hAnsi="Arial" w:cs="Arial"/>
          <w:color w:val="333333"/>
          <w:sz w:val="21"/>
          <w:szCs w:val="21"/>
        </w:rPr>
        <w:t>)</w:t>
      </w:r>
      <w:r>
        <w:rPr>
          <w:rFonts w:ascii="Arial" w:hAnsi="Arial" w:cs="Arial" w:hint="eastAsia"/>
          <w:color w:val="333333"/>
          <w:sz w:val="21"/>
          <w:szCs w:val="21"/>
        </w:rPr>
        <w:t>样品在液氮温度下吸附氮气的过程。在具体测试过程中，不同的操作人员，测试同一样品，其测量结果也有可能不完全相同，其主要原因与操作习惯和测试经验有很大关系，随着对测试过程的熟悉和对操作的熟练掌握，会逐步积累测试经验。</w:t>
      </w:r>
    </w:p>
    <w:p w:rsidR="00BD29BB" w:rsidRDefault="00BD29BB" w:rsidP="00CF2AAA">
      <w:pPr>
        <w:widowControl/>
        <w:shd w:val="clear" w:color="auto" w:fill="FFFFFF"/>
        <w:spacing w:after="225" w:line="360" w:lineRule="auto"/>
        <w:ind w:firstLine="480"/>
        <w:jc w:val="left"/>
        <w:rPr>
          <w:rFonts w:ascii="Arial" w:hAnsi="Arial" w:cs="Arial"/>
          <w:color w:val="333333"/>
          <w:kern w:val="0"/>
          <w:szCs w:val="21"/>
        </w:rPr>
      </w:pPr>
      <w:r>
        <w:rPr>
          <w:rFonts w:ascii="Arial" w:hAnsi="Arial" w:cs="Arial" w:hint="eastAsia"/>
          <w:color w:val="333333"/>
          <w:kern w:val="0"/>
          <w:szCs w:val="21"/>
        </w:rPr>
        <w:t>第一，预处理阶段中温度和时间的控制。不同的样品能够承受的温度不同，一般来讲，高温预处理，预处理时间可以短一点，反之，低温预处理，预处理时间必须长一些，最终的目的就是处分预处理样品，保证测试结果的精准度。如果时间充裕，可以提前准备样品进行时间绝对充分的预处理，这样更有利于测试</w:t>
      </w:r>
      <w:r>
        <w:rPr>
          <w:rFonts w:ascii="Arial" w:hAnsi="Arial" w:cs="Arial"/>
          <w:color w:val="333333"/>
          <w:kern w:val="0"/>
          <w:szCs w:val="21"/>
        </w:rPr>
        <w:t>;</w:t>
      </w:r>
    </w:p>
    <w:p w:rsidR="00BD29BB" w:rsidRDefault="00BD29BB" w:rsidP="00CF2AAA">
      <w:pPr>
        <w:widowControl/>
        <w:shd w:val="clear" w:color="auto" w:fill="FFFFFF"/>
        <w:spacing w:after="225" w:line="360" w:lineRule="auto"/>
        <w:ind w:firstLine="480"/>
        <w:jc w:val="left"/>
        <w:rPr>
          <w:rFonts w:ascii="Arial" w:hAnsi="Arial" w:cs="Arial"/>
          <w:color w:val="333333"/>
          <w:kern w:val="0"/>
          <w:szCs w:val="21"/>
        </w:rPr>
      </w:pPr>
      <w:r>
        <w:rPr>
          <w:rFonts w:ascii="Arial" w:hAnsi="Arial" w:cs="Arial" w:hint="eastAsia"/>
          <w:color w:val="333333"/>
          <w:kern w:val="0"/>
          <w:szCs w:val="21"/>
        </w:rPr>
        <w:t>第二，关闭阀门。测试即将开始时，首先要设置各压力点的压力值和对应的平衡时间，然后准备液氮，此时，在上升液氮杯之前，最好通过点击软件相关勾选框，关闭系统内部所有阀门，保证内部密闭，然后再上升液氮杯，其目的就是使能够在上升液氮杯到开始实验这段时间内，与样品接触的空间容积尽量小，从而使样品在实验开始前吸附的杂质气体尽量少，从而能在一定程度上进一步减小测试误差</w:t>
      </w:r>
      <w:r>
        <w:rPr>
          <w:rFonts w:ascii="Arial" w:hAnsi="Arial" w:cs="Arial"/>
          <w:color w:val="333333"/>
          <w:kern w:val="0"/>
          <w:szCs w:val="21"/>
        </w:rPr>
        <w:t>;</w:t>
      </w:r>
    </w:p>
    <w:p w:rsidR="00BD29BB" w:rsidRDefault="00BD29BB" w:rsidP="00CF2AAA">
      <w:pPr>
        <w:widowControl/>
        <w:shd w:val="clear" w:color="auto" w:fill="FFFFFF"/>
        <w:spacing w:after="225" w:line="360" w:lineRule="auto"/>
        <w:ind w:firstLine="480"/>
        <w:jc w:val="left"/>
        <w:rPr>
          <w:rFonts w:ascii="Arial" w:hAnsi="Arial" w:cs="Arial"/>
          <w:color w:val="333333"/>
          <w:kern w:val="0"/>
          <w:szCs w:val="21"/>
        </w:rPr>
      </w:pPr>
      <w:r>
        <w:rPr>
          <w:rFonts w:ascii="Arial" w:hAnsi="Arial" w:cs="Arial" w:hint="eastAsia"/>
          <w:color w:val="333333"/>
          <w:kern w:val="0"/>
          <w:szCs w:val="21"/>
        </w:rPr>
        <w:t>第三，保持半分钟。上升液氮杯后，由于样品所处环境温差很大，从室温降低到液氮温度</w:t>
      </w:r>
      <w:r>
        <w:rPr>
          <w:rFonts w:ascii="Arial" w:hAnsi="Arial" w:cs="Arial"/>
          <w:color w:val="333333"/>
          <w:kern w:val="0"/>
          <w:szCs w:val="21"/>
        </w:rPr>
        <w:t>(</w:t>
      </w:r>
      <w:r>
        <w:rPr>
          <w:rFonts w:ascii="Arial" w:hAnsi="Arial" w:cs="Arial" w:hint="eastAsia"/>
          <w:color w:val="333333"/>
          <w:kern w:val="0"/>
          <w:szCs w:val="21"/>
        </w:rPr>
        <w:t>标态时</w:t>
      </w:r>
      <w:r>
        <w:rPr>
          <w:rFonts w:ascii="Arial" w:hAnsi="Arial" w:cs="Arial"/>
          <w:color w:val="333333"/>
          <w:kern w:val="0"/>
          <w:szCs w:val="21"/>
        </w:rPr>
        <w:t>-196</w:t>
      </w:r>
      <w:r>
        <w:rPr>
          <w:rFonts w:ascii="宋体" w:hAnsi="宋体" w:cs="宋体" w:hint="eastAsia"/>
          <w:color w:val="333333"/>
          <w:kern w:val="0"/>
          <w:szCs w:val="21"/>
        </w:rPr>
        <w:t>℃</w:t>
      </w:r>
      <w:r>
        <w:rPr>
          <w:rFonts w:ascii="Arial" w:hAnsi="Arial" w:cs="Arial"/>
          <w:color w:val="333333"/>
          <w:kern w:val="0"/>
          <w:szCs w:val="21"/>
        </w:rPr>
        <w:t>)</w:t>
      </w:r>
      <w:r>
        <w:rPr>
          <w:rFonts w:ascii="Arial" w:hAnsi="Arial" w:cs="Arial" w:hint="eastAsia"/>
          <w:color w:val="333333"/>
          <w:kern w:val="0"/>
          <w:szCs w:val="21"/>
        </w:rPr>
        <w:t>，此过程并非瞬间完成，需要约</w:t>
      </w:r>
      <w:r>
        <w:rPr>
          <w:rFonts w:ascii="Arial" w:hAnsi="Arial" w:cs="Arial"/>
          <w:color w:val="333333"/>
          <w:kern w:val="0"/>
          <w:szCs w:val="21"/>
        </w:rPr>
        <w:t>15s</w:t>
      </w:r>
      <w:r>
        <w:rPr>
          <w:rFonts w:ascii="Arial" w:hAnsi="Arial" w:cs="Arial" w:hint="eastAsia"/>
          <w:color w:val="333333"/>
          <w:kern w:val="0"/>
          <w:szCs w:val="21"/>
        </w:rPr>
        <w:t>，因此在上升液氮杯平稳后，最好延迟约</w:t>
      </w:r>
      <w:r>
        <w:rPr>
          <w:rFonts w:ascii="Arial" w:hAnsi="Arial" w:cs="Arial"/>
          <w:color w:val="333333"/>
          <w:kern w:val="0"/>
          <w:szCs w:val="21"/>
        </w:rPr>
        <w:t>15~30s</w:t>
      </w:r>
      <w:r>
        <w:rPr>
          <w:rFonts w:ascii="Arial" w:hAnsi="Arial" w:cs="Arial" w:hint="eastAsia"/>
          <w:color w:val="333333"/>
          <w:kern w:val="0"/>
          <w:szCs w:val="21"/>
        </w:rPr>
        <w:t>再通过软件开始测试过称，其目的就是让样品所处环境的温度充分平衡从而完全达到液氮温度，为更充分地吸附氮气提供必要的温度条件。</w:t>
      </w:r>
    </w:p>
    <w:p w:rsidR="00BD29BB" w:rsidRPr="00C8088C" w:rsidRDefault="00BD29BB" w:rsidP="00CF2AAA">
      <w:pPr>
        <w:spacing w:line="360" w:lineRule="auto"/>
        <w:rPr>
          <w:sz w:val="24"/>
          <w:szCs w:val="24"/>
        </w:rPr>
      </w:pPr>
    </w:p>
    <w:sectPr w:rsidR="00BD29BB" w:rsidRPr="00C8088C" w:rsidSect="00B768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9BB" w:rsidRDefault="00BD29BB" w:rsidP="00C8088C">
      <w:r>
        <w:separator/>
      </w:r>
    </w:p>
  </w:endnote>
  <w:endnote w:type="continuationSeparator" w:id="0">
    <w:p w:rsidR="00BD29BB" w:rsidRDefault="00BD29BB" w:rsidP="00C80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9BB" w:rsidRDefault="00BD29BB" w:rsidP="00C8088C">
      <w:r>
        <w:separator/>
      </w:r>
    </w:p>
  </w:footnote>
  <w:footnote w:type="continuationSeparator" w:id="0">
    <w:p w:rsidR="00BD29BB" w:rsidRDefault="00BD29BB" w:rsidP="00C808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52612"/>
    <w:multiLevelType w:val="multilevel"/>
    <w:tmpl w:val="01546206"/>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b/>
        <w:bCs/>
      </w:rPr>
    </w:lvl>
    <w:lvl w:ilvl="2">
      <w:start w:val="1"/>
      <w:numFmt w:val="decimal"/>
      <w:lvlText w:val="%1.%2.%3."/>
      <w:lvlJc w:val="left"/>
      <w:pPr>
        <w:tabs>
          <w:tab w:val="num" w:pos="510"/>
        </w:tabs>
        <w:ind w:left="737" w:hanging="737"/>
      </w:pPr>
      <w:rPr>
        <w:rFonts w:cs="Times New Roman" w:hint="eastAsia"/>
      </w:rPr>
    </w:lvl>
    <w:lvl w:ilvl="3">
      <w:start w:val="1"/>
      <w:numFmt w:val="decimal"/>
      <w:lvlText w:val="%1.%2.%3.%4."/>
      <w:lvlJc w:val="left"/>
      <w:pPr>
        <w:tabs>
          <w:tab w:val="num" w:pos="0"/>
        </w:tabs>
      </w:pPr>
      <w:rPr>
        <w:rFonts w:cs="Times New Roman" w:hint="eastAsia"/>
        <w:b/>
        <w:bCs/>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
    <w:nsid w:val="4A9F0C58"/>
    <w:multiLevelType w:val="hybridMultilevel"/>
    <w:tmpl w:val="6C2E8800"/>
    <w:lvl w:ilvl="0" w:tplc="04090005">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2">
    <w:nsid w:val="4AF26948"/>
    <w:multiLevelType w:val="hybridMultilevel"/>
    <w:tmpl w:val="F02C79AE"/>
    <w:lvl w:ilvl="0" w:tplc="BCDCDA44">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
    <w:nsid w:val="7B3F6F0B"/>
    <w:multiLevelType w:val="hybridMultilevel"/>
    <w:tmpl w:val="68C4A184"/>
    <w:lvl w:ilvl="0" w:tplc="E0C812BC">
      <w:start w:val="1"/>
      <w:numFmt w:val="decimal"/>
      <w:lvlText w:val="%1．"/>
      <w:lvlJc w:val="left"/>
      <w:pPr>
        <w:ind w:left="360" w:hanging="360"/>
      </w:pPr>
      <w:rPr>
        <w:rFonts w:cs="Times New Roman" w:hint="default"/>
      </w:rPr>
    </w:lvl>
    <w:lvl w:ilvl="1" w:tplc="0C090019">
      <w:start w:val="1"/>
      <w:numFmt w:val="lowerLetter"/>
      <w:lvlText w:val="%2."/>
      <w:lvlJc w:val="left"/>
      <w:pPr>
        <w:ind w:left="1440" w:hanging="360"/>
      </w:pPr>
      <w:rPr>
        <w:rFonts w:cs="Times New Roman"/>
      </w:rPr>
    </w:lvl>
    <w:lvl w:ilvl="2" w:tplc="CBBC784C">
      <w:start w:val="12"/>
      <w:numFmt w:val="decimal"/>
      <w:lvlText w:val="%3"/>
      <w:lvlJc w:val="left"/>
      <w:pPr>
        <w:ind w:left="2340" w:hanging="360"/>
      </w:pPr>
      <w:rPr>
        <w:rFonts w:ascii="宋体" w:eastAsia="宋体" w:hAnsi="宋体" w:cs="Times New Roman" w:hint="default"/>
        <w:color w:val="333333"/>
        <w:sz w:val="22"/>
        <w:szCs w:val="22"/>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71D"/>
    <w:rsid w:val="00082A65"/>
    <w:rsid w:val="000D0D98"/>
    <w:rsid w:val="00114F62"/>
    <w:rsid w:val="00225C08"/>
    <w:rsid w:val="002E2EE8"/>
    <w:rsid w:val="002F0F76"/>
    <w:rsid w:val="00396164"/>
    <w:rsid w:val="003F5519"/>
    <w:rsid w:val="004023E7"/>
    <w:rsid w:val="00483E4A"/>
    <w:rsid w:val="004D7046"/>
    <w:rsid w:val="00515261"/>
    <w:rsid w:val="00615412"/>
    <w:rsid w:val="006351B7"/>
    <w:rsid w:val="0077343C"/>
    <w:rsid w:val="007B7219"/>
    <w:rsid w:val="007C4E29"/>
    <w:rsid w:val="007E4121"/>
    <w:rsid w:val="008B471D"/>
    <w:rsid w:val="00B768D8"/>
    <w:rsid w:val="00BD29BB"/>
    <w:rsid w:val="00BD4F9C"/>
    <w:rsid w:val="00C40AC2"/>
    <w:rsid w:val="00C8088C"/>
    <w:rsid w:val="00CF2AAA"/>
    <w:rsid w:val="00D34CE3"/>
    <w:rsid w:val="00D853BB"/>
    <w:rsid w:val="00F02D4D"/>
    <w:rsid w:val="00FB783C"/>
    <w:rsid w:val="00FE12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D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71D"/>
    <w:rPr>
      <w:sz w:val="18"/>
      <w:szCs w:val="18"/>
    </w:rPr>
  </w:style>
  <w:style w:type="character" w:customStyle="1" w:styleId="BalloonTextChar">
    <w:name w:val="Balloon Text Char"/>
    <w:basedOn w:val="DefaultParagraphFont"/>
    <w:link w:val="BalloonText"/>
    <w:uiPriority w:val="99"/>
    <w:semiHidden/>
    <w:locked/>
    <w:rsid w:val="008B471D"/>
    <w:rPr>
      <w:rFonts w:cs="Times New Roman"/>
      <w:sz w:val="18"/>
      <w:szCs w:val="18"/>
    </w:rPr>
  </w:style>
  <w:style w:type="character" w:styleId="Hyperlink">
    <w:name w:val="Hyperlink"/>
    <w:basedOn w:val="DefaultParagraphFont"/>
    <w:uiPriority w:val="99"/>
    <w:rsid w:val="008B471D"/>
    <w:rPr>
      <w:rFonts w:cs="Times New Roman"/>
      <w:color w:val="0000FF"/>
      <w:u w:val="single"/>
    </w:rPr>
  </w:style>
  <w:style w:type="paragraph" w:customStyle="1" w:styleId="Char1">
    <w:name w:val="Char1"/>
    <w:basedOn w:val="Normal"/>
    <w:uiPriority w:val="99"/>
    <w:rsid w:val="008B471D"/>
    <w:pPr>
      <w:widowControl/>
      <w:spacing w:after="160" w:line="240" w:lineRule="exact"/>
      <w:jc w:val="left"/>
    </w:pPr>
    <w:rPr>
      <w:rFonts w:ascii="Verdana" w:eastAsia="仿宋_GB2312" w:hAnsi="Verdana" w:cs="Verdana"/>
      <w:kern w:val="0"/>
      <w:sz w:val="24"/>
      <w:szCs w:val="24"/>
      <w:lang w:eastAsia="en-US"/>
    </w:rPr>
  </w:style>
  <w:style w:type="paragraph" w:styleId="Header">
    <w:name w:val="header"/>
    <w:basedOn w:val="Normal"/>
    <w:link w:val="HeaderChar"/>
    <w:uiPriority w:val="99"/>
    <w:semiHidden/>
    <w:rsid w:val="00C8088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8088C"/>
    <w:rPr>
      <w:rFonts w:cs="Times New Roman"/>
      <w:sz w:val="18"/>
      <w:szCs w:val="18"/>
    </w:rPr>
  </w:style>
  <w:style w:type="paragraph" w:styleId="Footer">
    <w:name w:val="footer"/>
    <w:basedOn w:val="Normal"/>
    <w:link w:val="FooterChar"/>
    <w:uiPriority w:val="99"/>
    <w:semiHidden/>
    <w:rsid w:val="00C8088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8088C"/>
    <w:rPr>
      <w:rFonts w:cs="Times New Roman"/>
      <w:sz w:val="18"/>
      <w:szCs w:val="18"/>
    </w:rPr>
  </w:style>
  <w:style w:type="paragraph" w:styleId="NormalWeb">
    <w:name w:val="Normal (Web)"/>
    <w:basedOn w:val="Normal"/>
    <w:uiPriority w:val="99"/>
    <w:rsid w:val="00C8088C"/>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DefaultParagraphFont"/>
    <w:uiPriority w:val="99"/>
    <w:rsid w:val="00C8088C"/>
    <w:rPr>
      <w:rFonts w:cs="Times New Roman"/>
    </w:rPr>
  </w:style>
  <w:style w:type="character" w:styleId="Strong">
    <w:name w:val="Strong"/>
    <w:basedOn w:val="DefaultParagraphFont"/>
    <w:uiPriority w:val="99"/>
    <w:qFormat/>
    <w:rsid w:val="006351B7"/>
    <w:rPr>
      <w:rFonts w:cs="Times New Roman"/>
      <w:b/>
      <w:bCs/>
    </w:rPr>
  </w:style>
  <w:style w:type="paragraph" w:styleId="NoSpacing">
    <w:name w:val="No Spacing"/>
    <w:uiPriority w:val="99"/>
    <w:qFormat/>
    <w:rsid w:val="00CF2AAA"/>
    <w:pPr>
      <w:widowControl w:val="0"/>
      <w:jc w:val="both"/>
    </w:pPr>
  </w:style>
  <w:style w:type="paragraph" w:styleId="DocumentMap">
    <w:name w:val="Document Map"/>
    <w:basedOn w:val="Normal"/>
    <w:link w:val="DocumentMapChar"/>
    <w:uiPriority w:val="99"/>
    <w:semiHidden/>
    <w:rsid w:val="00396164"/>
    <w:pPr>
      <w:shd w:val="clear" w:color="auto" w:fill="000080"/>
    </w:pPr>
  </w:style>
  <w:style w:type="character" w:customStyle="1" w:styleId="DocumentMapChar">
    <w:name w:val="Document Map Char"/>
    <w:basedOn w:val="DefaultParagraphFont"/>
    <w:link w:val="DocumentMap"/>
    <w:uiPriority w:val="99"/>
    <w:semiHidden/>
    <w:rsid w:val="00DB60DD"/>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529371538">
      <w:marLeft w:val="0"/>
      <w:marRight w:val="0"/>
      <w:marTop w:val="0"/>
      <w:marBottom w:val="0"/>
      <w:divBdr>
        <w:top w:val="none" w:sz="0" w:space="0" w:color="auto"/>
        <w:left w:val="none" w:sz="0" w:space="0" w:color="auto"/>
        <w:bottom w:val="none" w:sz="0" w:space="0" w:color="auto"/>
        <w:right w:val="none" w:sz="0" w:space="0" w:color="auto"/>
      </w:divBdr>
    </w:div>
    <w:div w:id="1529371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202.194.131.200/_ueditor/dialogs/showOriginalImg.html?img=/picture/article/223/27/37/cdcce32b4c73bfbe62804bbaee7a/2c9dfe9b-e38c-4116-89f2-163c78325467_d.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http://202.194.131.200/picture/article/223/27/37/cdcce32b4c73bfbe62804bbaee7a/2c9dfe9b-e38c-4116-89f2-163c78325467.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5</Pages>
  <Words>311</Words>
  <Characters>1778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txg</dc:creator>
  <cp:keywords/>
  <dc:description/>
  <cp:lastModifiedBy>Administrator</cp:lastModifiedBy>
  <cp:revision>12</cp:revision>
  <dcterms:created xsi:type="dcterms:W3CDTF">2017-10-16T08:13:00Z</dcterms:created>
  <dcterms:modified xsi:type="dcterms:W3CDTF">2017-11-04T08:10:00Z</dcterms:modified>
</cp:coreProperties>
</file>